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EFBC" w14:textId="77777777" w:rsidR="00D60EC0" w:rsidRPr="00D60EC0" w:rsidRDefault="00D60EC0" w:rsidP="00D60EC0">
      <w:pPr>
        <w:jc w:val="both"/>
        <w:rPr>
          <w:rFonts w:ascii="Times New Roman" w:hAnsi="Times New Roman" w:cs="Times New Roman"/>
          <w:sz w:val="20"/>
          <w:szCs w:val="20"/>
        </w:rPr>
      </w:pPr>
      <w:r w:rsidRPr="00D60EC0">
        <w:rPr>
          <w:rFonts w:ascii="Times New Roman" w:hAnsi="Times New Roman" w:cs="Times New Roman"/>
          <w:sz w:val="20"/>
          <w:szCs w:val="20"/>
        </w:rPr>
        <w:t>Kütüphanemiz koleksiyon geliştirme amacı ile "Sağlama" yollarından "Bağış" kanalını da kullanmaktadır. Kütüphane ve Dokümantasyon Daire Başkanının oluşturduğu 3 kişilik Materyal Seçme Komisyonu tarafından değerlendirilerek kabul edilir.</w:t>
      </w:r>
    </w:p>
    <w:p w14:paraId="5A47FB74" w14:textId="77777777" w:rsidR="00D60EC0" w:rsidRPr="00D60EC0" w:rsidRDefault="00D60EC0" w:rsidP="00D60EC0">
      <w:pPr>
        <w:jc w:val="both"/>
        <w:rPr>
          <w:rFonts w:ascii="Times New Roman" w:hAnsi="Times New Roman" w:cs="Times New Roman"/>
          <w:b/>
          <w:sz w:val="20"/>
          <w:szCs w:val="20"/>
        </w:rPr>
      </w:pPr>
      <w:r w:rsidRPr="00D60EC0">
        <w:rPr>
          <w:rFonts w:ascii="Times New Roman" w:hAnsi="Times New Roman" w:cs="Times New Roman"/>
          <w:b/>
          <w:sz w:val="20"/>
          <w:szCs w:val="20"/>
        </w:rPr>
        <w:t xml:space="preserve">Materyal seçimi ile ilgili kriterler; </w:t>
      </w:r>
    </w:p>
    <w:p w14:paraId="16866A3C"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1-)</w:t>
      </w:r>
      <w:r w:rsidRPr="00D60EC0">
        <w:rPr>
          <w:rFonts w:ascii="Times New Roman" w:hAnsi="Times New Roman" w:cs="Times New Roman"/>
          <w:sz w:val="20"/>
          <w:szCs w:val="20"/>
        </w:rPr>
        <w:t xml:space="preserve"> Bağış yapılacak yayınlar, üniversite kütüphanesinin amaçlarına ve eğitim-öğretim programına uygun niteliklere sahip, güncelliğini ve bilimsel özelliğini yitirmemiş ya da araştırmacıları sosyal ve kültürel açıdan destekleyici nitelikte olmalıdır.</w:t>
      </w:r>
    </w:p>
    <w:p w14:paraId="3DA63226"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2-)</w:t>
      </w:r>
      <w:r w:rsidRPr="00D60EC0">
        <w:rPr>
          <w:rFonts w:ascii="Times New Roman" w:hAnsi="Times New Roman" w:cs="Times New Roman"/>
          <w:sz w:val="20"/>
          <w:szCs w:val="20"/>
        </w:rPr>
        <w:t xml:space="preserve"> Kullanılmayacak derecede yıpranmış, sayfaları eksik, yırtık kaynaklar, fotokopi ile çoğaltılmış kaynaklar koleksiyona dahil edilmemektedir.</w:t>
      </w:r>
    </w:p>
    <w:p w14:paraId="2BDEB80B"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3-)</w:t>
      </w:r>
      <w:r w:rsidRPr="00D60EC0">
        <w:rPr>
          <w:rFonts w:ascii="Times New Roman" w:hAnsi="Times New Roman" w:cs="Times New Roman"/>
          <w:sz w:val="20"/>
          <w:szCs w:val="20"/>
        </w:rPr>
        <w:t xml:space="preserve"> Kişisel koleksiyonlar “ Özel Koleksiyon” adı altında alınmamaktadır. Bağış yapan kişiler için, kütüphane içinde dermenin bütünlüğünü bozacak şekilde özel bir koleksiyon ya da raf oluşturulamaz. Ancak bağışlanan yayınlar yazma, nadir eserlerden oluşan zengin bir dermeyi oluşturuyorsa veya 5000 binin üzerinde kitap bağış yapılmış ise özel bir bölüm oluşturulabilir. Bu konudaki kararı da Rektörlük makamı verir.</w:t>
      </w:r>
    </w:p>
    <w:p w14:paraId="1A47487A"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4-)</w:t>
      </w:r>
      <w:r w:rsidRPr="00D60EC0">
        <w:rPr>
          <w:rFonts w:ascii="Times New Roman" w:hAnsi="Times New Roman" w:cs="Times New Roman"/>
          <w:sz w:val="20"/>
          <w:szCs w:val="20"/>
        </w:rPr>
        <w:t xml:space="preserve"> Bağış yapılan kitap katalogda kayıt altına alınırken bağışçı ismi unutulmuş veya belirlenememiş olabilir. Bu durumda bağışçı bölümü boş bırakılır.</w:t>
      </w:r>
    </w:p>
    <w:p w14:paraId="3BB438ED"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5-)</w:t>
      </w:r>
      <w:r w:rsidRPr="00D60EC0">
        <w:rPr>
          <w:rFonts w:ascii="Times New Roman" w:hAnsi="Times New Roman" w:cs="Times New Roman"/>
          <w:sz w:val="20"/>
          <w:szCs w:val="20"/>
        </w:rPr>
        <w:t xml:space="preserve"> Posta yoluyla gelen her bağışın koleksiyona katılması söz konusu değildir. </w:t>
      </w:r>
    </w:p>
    <w:p w14:paraId="0BF8B651"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6-)</w:t>
      </w:r>
      <w:r w:rsidRPr="00D60EC0">
        <w:rPr>
          <w:rFonts w:ascii="Times New Roman" w:hAnsi="Times New Roman" w:cs="Times New Roman"/>
          <w:sz w:val="20"/>
          <w:szCs w:val="20"/>
        </w:rPr>
        <w:t xml:space="preserve"> İçerik açısından insanları yönlendirici siyasi vb. propaganda içeren yayınlar bağış olarak kabul edilemez.</w:t>
      </w:r>
    </w:p>
    <w:p w14:paraId="5F76E936"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7-)</w:t>
      </w:r>
      <w:r w:rsidRPr="00D60EC0">
        <w:rPr>
          <w:rFonts w:ascii="Times New Roman" w:hAnsi="Times New Roman" w:cs="Times New Roman"/>
          <w:sz w:val="20"/>
          <w:szCs w:val="20"/>
        </w:rPr>
        <w:t xml:space="preserve"> Tezler, gazeteler, ilköğretim ve lise ders kitapları, teksir, fotokopi, ders notları, korsan basım, v.b. özellikler gösteren yayın ve materyaller bağış olarak kabul edilemez.</w:t>
      </w:r>
    </w:p>
    <w:p w14:paraId="6FDDA7C3"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8-)</w:t>
      </w:r>
      <w:r w:rsidRPr="00D60EC0">
        <w:rPr>
          <w:rFonts w:ascii="Times New Roman" w:hAnsi="Times New Roman" w:cs="Times New Roman"/>
          <w:sz w:val="20"/>
          <w:szCs w:val="20"/>
        </w:rPr>
        <w:t xml:space="preserve"> Bağışlanan bilgi kaynaklarının kütüphane koleksiyonuna eklenmesi, eklenmeyenlerin başka kurumlara bağışlanması veya geri dönüşüme gönderilmesi konusunda karar verme yetkisi Daire Başkanlığı’na aittir. İçerik açısından güncel olmadıkları, tarihi değer taşımadıkları ya da üniversite kütüphanesinin amacına uygun olmadıkları için kabul edilmeyen kitap vb. nin başka bir kütüphane türünde değerlendirilmesi mümkündür. </w:t>
      </w:r>
    </w:p>
    <w:p w14:paraId="2579DA4E"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9-)</w:t>
      </w:r>
      <w:r w:rsidRPr="00D60EC0">
        <w:rPr>
          <w:rFonts w:ascii="Times New Roman" w:hAnsi="Times New Roman" w:cs="Times New Roman"/>
          <w:sz w:val="20"/>
          <w:szCs w:val="20"/>
        </w:rPr>
        <w:t xml:space="preserve"> Bağış yapan kişiler yaptıkları bağışlarla ilgili sonradan herhangi bir hak ve istekte bulunamazlar.</w:t>
      </w:r>
    </w:p>
    <w:p w14:paraId="4EB89C8E"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10-)</w:t>
      </w:r>
      <w:r w:rsidRPr="00D60EC0">
        <w:rPr>
          <w:rFonts w:ascii="Times New Roman" w:hAnsi="Times New Roman" w:cs="Times New Roman"/>
          <w:sz w:val="20"/>
          <w:szCs w:val="20"/>
        </w:rPr>
        <w:t xml:space="preserve"> El yazmaları ve nadir basma eser niteliğini taşıyan kitap vb. hariç olmak üzere; sosyal bilimler alanındaki eserlerin (bağış tarihinden itibaren) yayın yılı 20 yıldan eski olanları; fen ve uygulamalı bilimler alanlarındaki eserlerin yayın yılı 5 yıldan eski olanları kabul edilmez. Edebi eserler için tarih kısıtlaması bulunmamaktadır. </w:t>
      </w:r>
    </w:p>
    <w:p w14:paraId="1B5AD299" w14:textId="77777777" w:rsidR="00D60EC0" w:rsidRPr="00D60EC0" w:rsidRDefault="00D60EC0" w:rsidP="00D60EC0">
      <w:pPr>
        <w:jc w:val="both"/>
        <w:rPr>
          <w:rFonts w:ascii="Times New Roman" w:hAnsi="Times New Roman" w:cs="Times New Roman"/>
          <w:sz w:val="20"/>
          <w:szCs w:val="20"/>
        </w:rPr>
      </w:pPr>
      <w:r w:rsidRPr="00015FCA">
        <w:rPr>
          <w:rFonts w:ascii="Times New Roman" w:hAnsi="Times New Roman" w:cs="Times New Roman"/>
          <w:b/>
          <w:bCs/>
          <w:sz w:val="20"/>
          <w:szCs w:val="20"/>
        </w:rPr>
        <w:t>11-)</w:t>
      </w:r>
      <w:r w:rsidRPr="00D60EC0">
        <w:rPr>
          <w:rFonts w:ascii="Times New Roman" w:hAnsi="Times New Roman" w:cs="Times New Roman"/>
          <w:sz w:val="20"/>
          <w:szCs w:val="20"/>
        </w:rPr>
        <w:t xml:space="preserve"> Süreli Yayınların sayılarında devamlılık sağlanmalıdır. Ansiklopedi vb. çok ciltli eserlerin bütünlük oluşturması gerekmektedir.</w:t>
      </w:r>
    </w:p>
    <w:p w14:paraId="064DF75A" w14:textId="77777777" w:rsidR="00D60EC0" w:rsidRPr="00D60EC0" w:rsidRDefault="00D60EC0" w:rsidP="00D60EC0">
      <w:pPr>
        <w:jc w:val="both"/>
        <w:rPr>
          <w:rFonts w:ascii="Times New Roman" w:hAnsi="Times New Roman" w:cs="Times New Roman"/>
          <w:sz w:val="20"/>
          <w:szCs w:val="20"/>
        </w:rPr>
      </w:pPr>
      <w:r w:rsidRPr="00D60EC0">
        <w:rPr>
          <w:rFonts w:ascii="Times New Roman" w:hAnsi="Times New Roman" w:cs="Times New Roman"/>
          <w:sz w:val="20"/>
          <w:szCs w:val="20"/>
        </w:rPr>
        <w:t xml:space="preserve">Şartları okudum kabul ediyorum. </w:t>
      </w:r>
    </w:p>
    <w:p w14:paraId="7816DAE9" w14:textId="77777777" w:rsidR="00D60EC0" w:rsidRPr="00D60EC0" w:rsidRDefault="00D60EC0" w:rsidP="00D60EC0">
      <w:pPr>
        <w:jc w:val="both"/>
        <w:rPr>
          <w:rFonts w:ascii="Times New Roman" w:hAnsi="Times New Roman" w:cs="Times New Roman"/>
          <w:sz w:val="20"/>
          <w:szCs w:val="20"/>
        </w:rPr>
      </w:pPr>
      <w:r w:rsidRPr="00D60EC0">
        <w:rPr>
          <w:rFonts w:ascii="Times New Roman" w:hAnsi="Times New Roman" w:cs="Times New Roman"/>
          <w:sz w:val="20"/>
          <w:szCs w:val="20"/>
        </w:rPr>
        <w:t>Ad-Soyad:                                                                                                                            Personel parafı</w:t>
      </w:r>
    </w:p>
    <w:p w14:paraId="1FD904B9" w14:textId="77777777" w:rsidR="00D60EC0" w:rsidRPr="00D60EC0" w:rsidRDefault="00D60EC0" w:rsidP="00D60EC0">
      <w:pPr>
        <w:jc w:val="both"/>
        <w:rPr>
          <w:rFonts w:ascii="Times New Roman" w:hAnsi="Times New Roman" w:cs="Times New Roman"/>
          <w:sz w:val="20"/>
          <w:szCs w:val="20"/>
        </w:rPr>
      </w:pPr>
      <w:r w:rsidRPr="00D60EC0">
        <w:rPr>
          <w:rFonts w:ascii="Times New Roman" w:hAnsi="Times New Roman" w:cs="Times New Roman"/>
          <w:sz w:val="20"/>
          <w:szCs w:val="20"/>
        </w:rPr>
        <w:t>Tarih</w:t>
      </w:r>
      <w:r w:rsidR="001F067F">
        <w:rPr>
          <w:rFonts w:ascii="Times New Roman" w:hAnsi="Times New Roman" w:cs="Times New Roman"/>
          <w:sz w:val="20"/>
          <w:szCs w:val="20"/>
        </w:rPr>
        <w:t xml:space="preserve">       </w:t>
      </w:r>
      <w:r w:rsidRPr="00D60EC0">
        <w:rPr>
          <w:rFonts w:ascii="Times New Roman" w:hAnsi="Times New Roman" w:cs="Times New Roman"/>
          <w:sz w:val="20"/>
          <w:szCs w:val="20"/>
        </w:rPr>
        <w:t xml:space="preserve">: …../……/……                        İmza: …..                                                  </w:t>
      </w:r>
    </w:p>
    <w:sectPr w:rsidR="00D60EC0" w:rsidRPr="00D60EC0" w:rsidSect="00D30CB0">
      <w:headerReference w:type="even" r:id="rId6"/>
      <w:headerReference w:type="default" r:id="rId7"/>
      <w:footerReference w:type="even" r:id="rId8"/>
      <w:footerReference w:type="default" r:id="rId9"/>
      <w:headerReference w:type="first" r:id="rId10"/>
      <w:footerReference w:type="first" r:id="rId11"/>
      <w:pgSz w:w="11906" w:h="16838"/>
      <w:pgMar w:top="2139"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0E68" w14:textId="77777777" w:rsidR="00EA10F8" w:rsidRDefault="00EA10F8" w:rsidP="00041A65">
      <w:pPr>
        <w:spacing w:after="0" w:line="240" w:lineRule="auto"/>
      </w:pPr>
      <w:r>
        <w:separator/>
      </w:r>
    </w:p>
  </w:endnote>
  <w:endnote w:type="continuationSeparator" w:id="0">
    <w:p w14:paraId="11A4E0EB" w14:textId="77777777" w:rsidR="00EA10F8" w:rsidRDefault="00EA10F8" w:rsidP="0004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19616" w14:textId="77777777" w:rsidR="00015FCA" w:rsidRDefault="00015F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02"/>
      <w:gridCol w:w="2835"/>
    </w:tblGrid>
    <w:tr w:rsidR="001F067F" w14:paraId="32AFB3A0" w14:textId="77777777" w:rsidTr="007A25E7">
      <w:trPr>
        <w:trHeight w:val="699"/>
      </w:trPr>
      <w:tc>
        <w:tcPr>
          <w:tcW w:w="3397" w:type="dxa"/>
        </w:tcPr>
        <w:p w14:paraId="49D3C9A2" w14:textId="77777777" w:rsidR="001F067F" w:rsidRDefault="001F067F" w:rsidP="001F067F">
          <w:pPr>
            <w:pStyle w:val="AltBilgi"/>
            <w:jc w:val="center"/>
            <w:rPr>
              <w:rFonts w:ascii="Cambria" w:hAnsi="Cambria"/>
              <w:b/>
              <w:color w:val="002060"/>
              <w:sz w:val="16"/>
              <w:szCs w:val="16"/>
            </w:rPr>
          </w:pPr>
        </w:p>
      </w:tc>
      <w:tc>
        <w:tcPr>
          <w:tcW w:w="3402" w:type="dxa"/>
        </w:tcPr>
        <w:p w14:paraId="5CEB1C40" w14:textId="77777777" w:rsidR="001F067F" w:rsidRDefault="001F067F" w:rsidP="001F067F">
          <w:pPr>
            <w:pStyle w:val="AltBilgi"/>
            <w:jc w:val="center"/>
            <w:rPr>
              <w:rFonts w:ascii="Cambria" w:hAnsi="Cambria"/>
              <w:b/>
              <w:color w:val="002060"/>
              <w:sz w:val="16"/>
              <w:szCs w:val="16"/>
            </w:rPr>
          </w:pPr>
        </w:p>
      </w:tc>
      <w:tc>
        <w:tcPr>
          <w:tcW w:w="2835" w:type="dxa"/>
        </w:tcPr>
        <w:p w14:paraId="42A79945" w14:textId="77777777" w:rsidR="001F067F" w:rsidRDefault="001F067F" w:rsidP="001F067F">
          <w:pPr>
            <w:pStyle w:val="AltBilgi"/>
            <w:jc w:val="center"/>
            <w:rPr>
              <w:rFonts w:ascii="Cambria" w:hAnsi="Cambria"/>
              <w:b/>
              <w:color w:val="002060"/>
              <w:sz w:val="16"/>
              <w:szCs w:val="16"/>
            </w:rPr>
          </w:pPr>
        </w:p>
      </w:tc>
    </w:tr>
  </w:tbl>
  <w:p w14:paraId="198AC683" w14:textId="77777777" w:rsidR="00822068" w:rsidRPr="001F067F" w:rsidRDefault="00822068" w:rsidP="001F06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4C7B0" w14:textId="77777777" w:rsidR="00015FCA" w:rsidRDefault="00015F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ED9CA" w14:textId="77777777" w:rsidR="00EA10F8" w:rsidRDefault="00EA10F8" w:rsidP="00041A65">
      <w:pPr>
        <w:spacing w:after="0" w:line="240" w:lineRule="auto"/>
      </w:pPr>
      <w:r>
        <w:separator/>
      </w:r>
    </w:p>
  </w:footnote>
  <w:footnote w:type="continuationSeparator" w:id="0">
    <w:p w14:paraId="729A928A" w14:textId="77777777" w:rsidR="00EA10F8" w:rsidRDefault="00EA10F8" w:rsidP="00041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F759" w14:textId="77777777" w:rsidR="00015FCA" w:rsidRDefault="00015F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522" w:type="pct"/>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745"/>
      <w:gridCol w:w="5594"/>
      <w:gridCol w:w="1276"/>
      <w:gridCol w:w="1559"/>
    </w:tblGrid>
    <w:tr w:rsidR="007A25E7" w14:paraId="7B56E956" w14:textId="77777777" w:rsidTr="007A25E7">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1745" w:type="dxa"/>
          <w:vMerge w:val="restart"/>
          <w:vAlign w:val="center"/>
        </w:tcPr>
        <w:p w14:paraId="02971A90" w14:textId="77777777" w:rsidR="007A25E7" w:rsidRDefault="007A25E7" w:rsidP="007A25E7">
          <w:pPr>
            <w:pStyle w:val="stBilgi"/>
            <w:ind w:left="-115" w:right="-110"/>
            <w:jc w:val="center"/>
          </w:pPr>
          <w:bookmarkStart w:id="0" w:name="_Hlk88820164"/>
          <w:r>
            <w:rPr>
              <w:noProof/>
            </w:rPr>
            <w:drawing>
              <wp:inline distT="0" distB="0" distL="0" distR="0" wp14:anchorId="4DFB44DD" wp14:editId="3B8DAA54">
                <wp:extent cx="1062635" cy="809625"/>
                <wp:effectExtent l="0" t="0" r="4445" b="0"/>
                <wp:docPr id="3" name="Resim 2" descr="Png-Amblem">
                  <a:extLst xmlns:a="http://schemas.openxmlformats.org/drawingml/2006/main">
                    <a:ext uri="{FF2B5EF4-FFF2-40B4-BE49-F238E27FC236}">
                      <a16:creationId xmlns:a16="http://schemas.microsoft.com/office/drawing/2014/main" id="{EAC3B3D8-1D68-4BD3-9B20-5D64CB8F3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Png-Amblem">
                          <a:extLst>
                            <a:ext uri="{FF2B5EF4-FFF2-40B4-BE49-F238E27FC236}">
                              <a16:creationId xmlns:a16="http://schemas.microsoft.com/office/drawing/2014/main" id="{EAC3B3D8-1D68-4BD3-9B20-5D64CB8F319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280" cy="812402"/>
                        </a:xfrm>
                        <a:prstGeom prst="rect">
                          <a:avLst/>
                        </a:prstGeom>
                        <a:noFill/>
                      </pic:spPr>
                    </pic:pic>
                  </a:graphicData>
                </a:graphic>
              </wp:inline>
            </w:drawing>
          </w:r>
        </w:p>
      </w:tc>
      <w:tc>
        <w:tcPr>
          <w:tcW w:w="5593" w:type="dxa"/>
          <w:vMerge w:val="restart"/>
          <w:tcBorders>
            <w:right w:val="single" w:sz="4" w:space="0" w:color="auto"/>
          </w:tcBorders>
          <w:vAlign w:val="center"/>
        </w:tcPr>
        <w:p w14:paraId="79E2C480" w14:textId="77777777" w:rsidR="007A25E7" w:rsidRPr="003301FC" w:rsidRDefault="007A25E7" w:rsidP="007A25E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3301FC">
            <w:rPr>
              <w:rFonts w:ascii="Cambria" w:hAnsi="Cambria"/>
              <w:color w:val="002060"/>
              <w:sz w:val="24"/>
              <w:szCs w:val="24"/>
            </w:rPr>
            <w:t xml:space="preserve">T.C. </w:t>
          </w:r>
        </w:p>
        <w:p w14:paraId="0B995991" w14:textId="77777777" w:rsidR="007A25E7" w:rsidRPr="003301FC" w:rsidRDefault="007A25E7" w:rsidP="007A25E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3301FC">
            <w:rPr>
              <w:rFonts w:ascii="Cambria" w:hAnsi="Cambria"/>
              <w:color w:val="002060"/>
              <w:sz w:val="24"/>
              <w:szCs w:val="24"/>
            </w:rPr>
            <w:t xml:space="preserve">KARABÜK ÜNİVERSİTESİ </w:t>
          </w:r>
        </w:p>
        <w:p w14:paraId="150DCBD9" w14:textId="77777777" w:rsidR="007A25E7" w:rsidRPr="004C20C2" w:rsidRDefault="007A25E7" w:rsidP="007A25E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Pr>
              <w:rFonts w:ascii="Cambria" w:hAnsi="Cambria"/>
              <w:color w:val="002060"/>
              <w:sz w:val="24"/>
              <w:szCs w:val="24"/>
            </w:rPr>
            <w:t>Kütüphane ve Dokümantasyon Daire Başkanlığı</w:t>
          </w:r>
        </w:p>
        <w:p w14:paraId="4D51F1D6" w14:textId="751A53EA" w:rsidR="007A25E7" w:rsidRPr="00D53C7A" w:rsidRDefault="00E943F9" w:rsidP="007A25E7">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 xml:space="preserve">Kitap </w:t>
          </w:r>
          <w:r w:rsidR="007A25E7" w:rsidRPr="001F067F">
            <w:rPr>
              <w:rFonts w:ascii="Cambria" w:hAnsi="Cambria"/>
              <w:color w:val="002060"/>
              <w:sz w:val="24"/>
              <w:szCs w:val="24"/>
            </w:rPr>
            <w:t>Bağış Politikası</w:t>
          </w:r>
          <w:r w:rsidR="007A25E7" w:rsidRPr="00D53C7A">
            <w:rPr>
              <w:rFonts w:ascii="Cambria" w:hAnsi="Cambria"/>
              <w:bCs w:val="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B78CCF" w14:textId="77777777" w:rsidR="007A25E7" w:rsidRPr="00C50205" w:rsidRDefault="007A25E7" w:rsidP="007A25E7">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A1DAE2" w14:textId="1CBE4C27" w:rsidR="007A25E7" w:rsidRPr="00C50205" w:rsidRDefault="0022405A" w:rsidP="007A25E7">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22405A">
            <w:rPr>
              <w:rFonts w:ascii="Cambria" w:hAnsi="Cambria"/>
              <w:color w:val="002060"/>
              <w:sz w:val="16"/>
              <w:szCs w:val="16"/>
            </w:rPr>
            <w:t>KBÜ-</w:t>
          </w:r>
          <w:r w:rsidR="007A25E7" w:rsidRPr="00C50205">
            <w:rPr>
              <w:rFonts w:ascii="Cambria" w:hAnsi="Cambria"/>
              <w:color w:val="002060"/>
              <w:sz w:val="16"/>
              <w:szCs w:val="16"/>
            </w:rPr>
            <w:t>FRM-0</w:t>
          </w:r>
          <w:r w:rsidR="004C0387">
            <w:rPr>
              <w:rFonts w:ascii="Cambria" w:hAnsi="Cambria"/>
              <w:color w:val="002060"/>
              <w:sz w:val="16"/>
              <w:szCs w:val="16"/>
            </w:rPr>
            <w:t>139</w:t>
          </w:r>
        </w:p>
      </w:tc>
    </w:tr>
    <w:tr w:rsidR="007A25E7" w14:paraId="56D40E45" w14:textId="77777777" w:rsidTr="007A25E7">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745" w:type="dxa"/>
          <w:vMerge/>
          <w:vAlign w:val="center"/>
        </w:tcPr>
        <w:p w14:paraId="50429542" w14:textId="77777777" w:rsidR="007A25E7" w:rsidRDefault="007A25E7" w:rsidP="007A25E7">
          <w:pPr>
            <w:pStyle w:val="stBilgi"/>
            <w:ind w:left="-115"/>
            <w:rPr>
              <w:noProof/>
            </w:rPr>
          </w:pPr>
        </w:p>
      </w:tc>
      <w:tc>
        <w:tcPr>
          <w:tcW w:w="5593" w:type="dxa"/>
          <w:vMerge/>
          <w:tcBorders>
            <w:right w:val="single" w:sz="4" w:space="0" w:color="auto"/>
          </w:tcBorders>
          <w:vAlign w:val="center"/>
        </w:tcPr>
        <w:p w14:paraId="2564D91F" w14:textId="77777777" w:rsidR="007A25E7" w:rsidRDefault="007A25E7" w:rsidP="007A25E7">
          <w:pPr>
            <w:pStyle w:val="stBilgi"/>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EA536E" w14:textId="77777777" w:rsidR="007A25E7" w:rsidRPr="00D53C7A" w:rsidRDefault="007A25E7" w:rsidP="007A25E7">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F5C48" w14:textId="418C27EF" w:rsidR="007A25E7" w:rsidRDefault="002B74E1" w:rsidP="007A25E7">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7A25E7" w14:paraId="1890053C" w14:textId="77777777" w:rsidTr="007A25E7">
      <w:tblPrEx>
        <w:tblCellMar>
          <w:left w:w="108" w:type="dxa"/>
          <w:right w:w="108" w:type="dxa"/>
        </w:tblCellMar>
      </w:tblPrEx>
      <w:trPr>
        <w:trHeight w:val="307"/>
      </w:trPr>
      <w:tc>
        <w:tcPr>
          <w:cnfStyle w:val="001000000000" w:firstRow="0" w:lastRow="0" w:firstColumn="1" w:lastColumn="0" w:oddVBand="0" w:evenVBand="0" w:oddHBand="0" w:evenHBand="0" w:firstRowFirstColumn="0" w:firstRowLastColumn="0" w:lastRowFirstColumn="0" w:lastRowLastColumn="0"/>
          <w:tcW w:w="1745" w:type="dxa"/>
          <w:vMerge/>
          <w:vAlign w:val="center"/>
        </w:tcPr>
        <w:p w14:paraId="20345E49" w14:textId="77777777" w:rsidR="007A25E7" w:rsidRDefault="007A25E7" w:rsidP="007A25E7">
          <w:pPr>
            <w:pStyle w:val="stBilgi"/>
            <w:ind w:left="-115"/>
            <w:rPr>
              <w:noProof/>
            </w:rPr>
          </w:pPr>
        </w:p>
      </w:tc>
      <w:tc>
        <w:tcPr>
          <w:tcW w:w="5593" w:type="dxa"/>
          <w:vMerge/>
          <w:tcBorders>
            <w:right w:val="single" w:sz="4" w:space="0" w:color="auto"/>
          </w:tcBorders>
          <w:vAlign w:val="center"/>
        </w:tcPr>
        <w:p w14:paraId="1411DB9B" w14:textId="77777777" w:rsidR="007A25E7" w:rsidRDefault="007A25E7" w:rsidP="007A25E7">
          <w:pPr>
            <w:pStyle w:val="stBilgi"/>
            <w:jc w:val="center"/>
            <w:cnfStyle w:val="000000000000" w:firstRow="0" w:lastRow="0" w:firstColumn="0" w:lastColumn="0" w:oddVBand="0" w:evenVBand="0" w:oddHBand="0"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228EEC" w14:textId="77777777" w:rsidR="007A25E7" w:rsidRPr="00D53C7A" w:rsidRDefault="007A25E7" w:rsidP="007A25E7">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D19D66" w14:textId="77777777" w:rsidR="007A25E7" w:rsidRPr="00171789" w:rsidRDefault="007A25E7" w:rsidP="007A25E7">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7A25E7" w14:paraId="0797FF4B" w14:textId="77777777" w:rsidTr="007A25E7">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745" w:type="dxa"/>
          <w:vMerge/>
          <w:vAlign w:val="center"/>
        </w:tcPr>
        <w:p w14:paraId="68258498" w14:textId="77777777" w:rsidR="007A25E7" w:rsidRDefault="007A25E7" w:rsidP="007A25E7">
          <w:pPr>
            <w:pStyle w:val="stBilgi"/>
            <w:ind w:left="-115"/>
            <w:rPr>
              <w:noProof/>
            </w:rPr>
          </w:pPr>
        </w:p>
      </w:tc>
      <w:tc>
        <w:tcPr>
          <w:tcW w:w="5593" w:type="dxa"/>
          <w:vMerge/>
          <w:tcBorders>
            <w:right w:val="single" w:sz="4" w:space="0" w:color="auto"/>
          </w:tcBorders>
          <w:vAlign w:val="center"/>
        </w:tcPr>
        <w:p w14:paraId="025CA519" w14:textId="77777777" w:rsidR="007A25E7" w:rsidRDefault="007A25E7" w:rsidP="007A25E7">
          <w:pPr>
            <w:pStyle w:val="stBilgi"/>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65672" w14:textId="77777777" w:rsidR="007A25E7" w:rsidRPr="00D53C7A" w:rsidRDefault="007A25E7" w:rsidP="007A25E7">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F2D42" w14:textId="77777777" w:rsidR="007A25E7" w:rsidRPr="00171789" w:rsidRDefault="007A25E7" w:rsidP="007A25E7">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bookmarkEnd w:id="0"/>
  </w:tbl>
  <w:p w14:paraId="6D298A34" w14:textId="77777777" w:rsidR="00041A65" w:rsidRPr="001F067F" w:rsidRDefault="00041A65" w:rsidP="001F06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E7A7" w14:textId="77777777" w:rsidR="00015FCA" w:rsidRDefault="00015F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F25"/>
    <w:rsid w:val="00015FCA"/>
    <w:rsid w:val="00041A65"/>
    <w:rsid w:val="00076D75"/>
    <w:rsid w:val="0011632F"/>
    <w:rsid w:val="001D480C"/>
    <w:rsid w:val="001F067F"/>
    <w:rsid w:val="0022405A"/>
    <w:rsid w:val="002B74E1"/>
    <w:rsid w:val="002D6721"/>
    <w:rsid w:val="00447AB9"/>
    <w:rsid w:val="004C0387"/>
    <w:rsid w:val="004D1796"/>
    <w:rsid w:val="00636A1C"/>
    <w:rsid w:val="007A25E7"/>
    <w:rsid w:val="00822068"/>
    <w:rsid w:val="00831415"/>
    <w:rsid w:val="00946EE8"/>
    <w:rsid w:val="00B956F3"/>
    <w:rsid w:val="00BD36AB"/>
    <w:rsid w:val="00C2661F"/>
    <w:rsid w:val="00C57999"/>
    <w:rsid w:val="00C8580C"/>
    <w:rsid w:val="00D30CB0"/>
    <w:rsid w:val="00D43110"/>
    <w:rsid w:val="00D60EC0"/>
    <w:rsid w:val="00DE0C39"/>
    <w:rsid w:val="00DE66D1"/>
    <w:rsid w:val="00DF19BA"/>
    <w:rsid w:val="00E26B65"/>
    <w:rsid w:val="00E943F9"/>
    <w:rsid w:val="00EA10F8"/>
    <w:rsid w:val="00F442C9"/>
    <w:rsid w:val="00F45201"/>
    <w:rsid w:val="00FD5F25"/>
    <w:rsid w:val="00FE367C"/>
    <w:rsid w:val="00FF5C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A649F"/>
  <w15:docId w15:val="{CF606354-FC3F-4C5E-9EE0-D3FDADAC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E3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1A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1A65"/>
  </w:style>
  <w:style w:type="paragraph" w:styleId="AltBilgi">
    <w:name w:val="footer"/>
    <w:basedOn w:val="Normal"/>
    <w:link w:val="AltBilgiChar"/>
    <w:uiPriority w:val="99"/>
    <w:unhideWhenUsed/>
    <w:rsid w:val="00041A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1A65"/>
  </w:style>
  <w:style w:type="paragraph" w:styleId="BalonMetni">
    <w:name w:val="Balloon Text"/>
    <w:basedOn w:val="Normal"/>
    <w:link w:val="BalonMetniChar"/>
    <w:uiPriority w:val="99"/>
    <w:semiHidden/>
    <w:unhideWhenUsed/>
    <w:rsid w:val="00041A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1A65"/>
    <w:rPr>
      <w:rFonts w:ascii="Tahoma" w:hAnsi="Tahoma" w:cs="Tahoma"/>
      <w:sz w:val="16"/>
      <w:szCs w:val="16"/>
    </w:rPr>
  </w:style>
  <w:style w:type="table" w:customStyle="1" w:styleId="KlavuzTablo31">
    <w:name w:val="Kılavuz Tablo 31"/>
    <w:basedOn w:val="NormalTablo"/>
    <w:uiPriority w:val="48"/>
    <w:rsid w:val="001F06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oKlavuzuAk1">
    <w:name w:val="Tablo Kılavuzu Açık1"/>
    <w:basedOn w:val="NormalTablo"/>
    <w:uiPriority w:val="40"/>
    <w:rsid w:val="001F06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7A25E7"/>
    <w:pPr>
      <w:spacing w:after="0" w:line="240" w:lineRule="auto"/>
    </w:pPr>
  </w:style>
  <w:style w:type="character" w:customStyle="1" w:styleId="AralkYokChar">
    <w:name w:val="Aralık Yok Char"/>
    <w:basedOn w:val="VarsaylanParagrafYazTipi"/>
    <w:link w:val="AralkYok"/>
    <w:uiPriority w:val="1"/>
    <w:rsid w:val="007A2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4244</dc:creator>
  <cp:lastModifiedBy>Beyza ÖZDEM</cp:lastModifiedBy>
  <cp:revision>15</cp:revision>
  <dcterms:created xsi:type="dcterms:W3CDTF">2020-09-24T06:34:00Z</dcterms:created>
  <dcterms:modified xsi:type="dcterms:W3CDTF">2024-10-10T08:52:00Z</dcterms:modified>
</cp:coreProperties>
</file>