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21"/>
        <w:gridCol w:w="949"/>
        <w:gridCol w:w="2612"/>
        <w:gridCol w:w="5628"/>
      </w:tblGrid>
      <w:tr w:rsidR="001F64B1" w:rsidRPr="00C75433" w:rsidTr="00DF727E">
        <w:trPr>
          <w:trHeight w:val="451"/>
        </w:trPr>
        <w:tc>
          <w:tcPr>
            <w:tcW w:w="10410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F64B1" w:rsidRPr="004F272C" w:rsidRDefault="001F64B1" w:rsidP="008D19C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KARABÜK ÜNİVERSİTESİ KALİTE KOMİSYONU</w:t>
            </w:r>
          </w:p>
        </w:tc>
      </w:tr>
      <w:tr w:rsidR="001F64B1" w:rsidRPr="00C75433" w:rsidTr="00DF727E">
        <w:trPr>
          <w:trHeight w:val="374"/>
        </w:trPr>
        <w:tc>
          <w:tcPr>
            <w:tcW w:w="10410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F64B1" w:rsidRPr="00C75433" w:rsidRDefault="001F64B1" w:rsidP="008D19C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1F64B1" w:rsidRPr="00C75433" w:rsidTr="00DF727E">
        <w:trPr>
          <w:trHeight w:val="37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F64B1" w:rsidRPr="00BB007F" w:rsidRDefault="001F64B1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</w:pPr>
            <w:r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Tarih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4B1" w:rsidRPr="00BB007F" w:rsidRDefault="001F64B1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</w:pPr>
            <w:r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Saat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F64B1" w:rsidRPr="00BB007F" w:rsidRDefault="001F64B1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Topl</w:t>
            </w:r>
            <w:proofErr w:type="spellEnd"/>
            <w:r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. Sayısı</w:t>
            </w:r>
          </w:p>
        </w:tc>
        <w:tc>
          <w:tcPr>
            <w:tcW w:w="56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4B1" w:rsidRPr="00C75433" w:rsidRDefault="001F64B1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Yer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</w:t>
            </w:r>
          </w:p>
        </w:tc>
      </w:tr>
      <w:tr w:rsidR="001F64B1" w:rsidRPr="00C75433" w:rsidTr="00DF727E">
        <w:trPr>
          <w:trHeight w:val="37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F64B1" w:rsidRPr="00BB007F" w:rsidRDefault="00CE1375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04.12</w:t>
            </w:r>
            <w:r w:rsidR="001F64B1"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.2019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64B1" w:rsidRPr="00BB007F" w:rsidRDefault="001F64B1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</w:pPr>
            <w:proofErr w:type="gramStart"/>
            <w:r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15:00</w:t>
            </w:r>
            <w:proofErr w:type="gramEnd"/>
          </w:p>
        </w:tc>
        <w:tc>
          <w:tcPr>
            <w:tcW w:w="2612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F64B1" w:rsidRPr="00BB007F" w:rsidRDefault="009134A3" w:rsidP="00CE1375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</w:pPr>
            <w:r w:rsidRPr="00BB007F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2019/</w:t>
            </w:r>
            <w:r w:rsidR="00CE1375">
              <w:rPr>
                <w:rFonts w:ascii="Times New Roman" w:hAnsi="Times New Roman" w:cs="Times New Roman"/>
                <w:caps w:val="0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5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64B1" w:rsidRPr="00C75433" w:rsidRDefault="001F64B1" w:rsidP="008D19C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Rektörlük Toplantı Odası</w:t>
            </w:r>
          </w:p>
        </w:tc>
      </w:tr>
      <w:tr w:rsidR="00EB581D" w:rsidRPr="00C75433" w:rsidTr="00DF727E">
        <w:trPr>
          <w:trHeight w:val="1038"/>
        </w:trPr>
        <w:tc>
          <w:tcPr>
            <w:tcW w:w="10410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B581D" w:rsidRPr="00EE36C0" w:rsidRDefault="00CE1375" w:rsidP="00CE1375">
            <w:pPr>
              <w:pStyle w:val="ListeParagraf"/>
              <w:spacing w:after="200" w:line="276" w:lineRule="auto"/>
              <w:ind w:left="371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Rektör Yardımcısı Prof. Dr. İzzet AÇAR başkanlığında </w:t>
            </w:r>
            <w:r w:rsidR="00EB5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toplanan Kalite komisyonu aşağıdaki gündem maddelerini görüşerek tavsiye/öneri niteliğinde kararlar almıştır.</w:t>
            </w:r>
          </w:p>
        </w:tc>
      </w:tr>
      <w:tr w:rsidR="00426F90" w:rsidRPr="00C75433" w:rsidTr="00DF727E">
        <w:trPr>
          <w:trHeight w:val="374"/>
        </w:trPr>
        <w:tc>
          <w:tcPr>
            <w:tcW w:w="2170" w:type="dxa"/>
            <w:gridSpan w:val="2"/>
            <w:shd w:val="clear" w:color="auto" w:fill="FFFFFF"/>
            <w:vAlign w:val="center"/>
          </w:tcPr>
          <w:p w:rsidR="00426F90" w:rsidRPr="00C75433" w:rsidRDefault="00426F90" w:rsidP="008D19C2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Katılımcılar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:rsidR="00426F90" w:rsidRPr="00463BD6" w:rsidRDefault="00426F90" w:rsidP="00463BD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Kalite Komisyonu Üyeleri (</w:t>
            </w:r>
            <w:r w:rsidR="00CE1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kişi</w:t>
            </w:r>
            <w:r w:rsidRPr="0046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26F90" w:rsidRPr="00463BD6" w:rsidRDefault="00426F90" w:rsidP="00CE1375">
            <w:pPr>
              <w:pStyle w:val="ListeParagraf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64B1" w:rsidRDefault="001F64B1"/>
    <w:tbl>
      <w:tblPr>
        <w:tblStyle w:val="TabloKlavuzu"/>
        <w:tblW w:w="10368" w:type="dxa"/>
        <w:jc w:val="center"/>
        <w:tblLook w:val="04A0" w:firstRow="1" w:lastRow="0" w:firstColumn="1" w:lastColumn="0" w:noHBand="0" w:noVBand="1"/>
      </w:tblPr>
      <w:tblGrid>
        <w:gridCol w:w="1714"/>
        <w:gridCol w:w="8654"/>
      </w:tblGrid>
      <w:tr w:rsidR="00AA2776" w:rsidTr="00DF727E">
        <w:trPr>
          <w:trHeight w:val="57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AA2776" w:rsidRPr="008B15E3" w:rsidRDefault="00AA2776" w:rsidP="00426F90">
            <w:pPr>
              <w:rPr>
                <w:b/>
                <w:sz w:val="22"/>
                <w:szCs w:val="22"/>
              </w:rPr>
            </w:pPr>
            <w:r w:rsidRPr="008B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Gündem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4" w:type="dxa"/>
            <w:shd w:val="clear" w:color="auto" w:fill="D9D9D9" w:themeFill="background1" w:themeFillShade="D9"/>
            <w:vAlign w:val="center"/>
          </w:tcPr>
          <w:p w:rsidR="00AA2776" w:rsidRDefault="00AA2776" w:rsidP="009761B1">
            <w:pPr>
              <w:pStyle w:val="ListeParagraf"/>
              <w:spacing w:after="200" w:line="276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776" w:rsidRPr="00DF727E" w:rsidRDefault="00AA2776" w:rsidP="00CE1375">
            <w:pPr>
              <w:pStyle w:val="ListeParagraf"/>
              <w:spacing w:after="200" w:line="276" w:lineRule="auto"/>
              <w:ind w:left="-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375">
              <w:rPr>
                <w:rFonts w:ascii="Times New Roman" w:hAnsi="Times New Roman" w:cs="Times New Roman"/>
                <w:b/>
                <w:sz w:val="24"/>
                <w:szCs w:val="24"/>
              </w:rPr>
              <w:t>“Bir Önerim Var” sistemine gelen önerilerin değerlendirilmesi</w:t>
            </w:r>
          </w:p>
        </w:tc>
      </w:tr>
      <w:tr w:rsidR="00DF727E" w:rsidTr="00D02768">
        <w:trPr>
          <w:trHeight w:val="967"/>
          <w:jc w:val="center"/>
        </w:trPr>
        <w:tc>
          <w:tcPr>
            <w:tcW w:w="1714" w:type="dxa"/>
            <w:shd w:val="clear" w:color="auto" w:fill="FFFFFF" w:themeFill="background1"/>
            <w:vAlign w:val="center"/>
          </w:tcPr>
          <w:p w:rsidR="00DF727E" w:rsidRPr="001F64B1" w:rsidRDefault="00704825" w:rsidP="00DF727E">
            <w:pPr>
              <w:jc w:val="right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Öneri/Karar</w:t>
            </w:r>
          </w:p>
        </w:tc>
        <w:tc>
          <w:tcPr>
            <w:tcW w:w="8654" w:type="dxa"/>
            <w:shd w:val="clear" w:color="auto" w:fill="FFFFFF" w:themeFill="background1"/>
            <w:vAlign w:val="center"/>
          </w:tcPr>
          <w:p w:rsidR="00704825" w:rsidRDefault="00704825" w:rsidP="00704825">
            <w:pPr>
              <w:pStyle w:val="ListeParagraf"/>
              <w:ind w:left="64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DF727E" w:rsidRPr="00AA2776" w:rsidRDefault="001D0318" w:rsidP="00DF7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02768">
              <w:rPr>
                <w:rFonts w:ascii="Times New Roman" w:hAnsi="Times New Roman" w:cs="Times New Roman"/>
                <w:sz w:val="24"/>
                <w:szCs w:val="24"/>
              </w:rPr>
              <w:t xml:space="preserve">Bir Önerim Var” sistemine gelen önerilerin konu bazında sınıflandırılması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02768">
              <w:rPr>
                <w:rFonts w:ascii="Times New Roman" w:hAnsi="Times New Roman" w:cs="Times New Roman"/>
                <w:sz w:val="24"/>
                <w:szCs w:val="24"/>
              </w:rPr>
              <w:t>değerlendirilmek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68">
              <w:rPr>
                <w:rFonts w:ascii="Times New Roman" w:hAnsi="Times New Roman" w:cs="Times New Roman"/>
                <w:sz w:val="24"/>
                <w:szCs w:val="24"/>
              </w:rPr>
              <w:t>alt çalışma grupları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D02768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Pr="00AA277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4439E7" w:rsidTr="004439E7">
        <w:trPr>
          <w:trHeight w:val="96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439E7" w:rsidRDefault="004439E7" w:rsidP="004439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8B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Gündem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8654" w:type="dxa"/>
            <w:shd w:val="clear" w:color="auto" w:fill="D9D9D9" w:themeFill="background1" w:themeFillShade="D9"/>
            <w:vAlign w:val="center"/>
          </w:tcPr>
          <w:p w:rsidR="004439E7" w:rsidRPr="004439E7" w:rsidRDefault="004439E7" w:rsidP="003D7E2D">
            <w:pPr>
              <w:pStyle w:val="AralkYok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4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irim alt komisyon üyelerinin </w:t>
            </w:r>
            <w:r w:rsidRPr="004439E7">
              <w:rPr>
                <w:rStyle w:val="fontstyle01"/>
                <w:b/>
              </w:rPr>
              <w:t xml:space="preserve">kalite çalışmalarına yönelik </w:t>
            </w:r>
            <w:r w:rsidRPr="0044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almış olduğu kararların</w:t>
            </w:r>
            <w:r w:rsidRPr="004439E7">
              <w:rPr>
                <w:rStyle w:val="fontstyle01"/>
                <w:b/>
              </w:rPr>
              <w:t xml:space="preserve"> görüşülmesi </w:t>
            </w:r>
          </w:p>
        </w:tc>
      </w:tr>
      <w:tr w:rsidR="004439E7" w:rsidTr="00D02768">
        <w:trPr>
          <w:trHeight w:val="967"/>
          <w:jc w:val="center"/>
        </w:trPr>
        <w:tc>
          <w:tcPr>
            <w:tcW w:w="1714" w:type="dxa"/>
            <w:shd w:val="clear" w:color="auto" w:fill="FFFFFF" w:themeFill="background1"/>
            <w:vAlign w:val="center"/>
          </w:tcPr>
          <w:p w:rsidR="004439E7" w:rsidRDefault="004439E7" w:rsidP="00DF72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4" w:type="dxa"/>
            <w:shd w:val="clear" w:color="auto" w:fill="FFFFFF" w:themeFill="background1"/>
            <w:vAlign w:val="center"/>
          </w:tcPr>
          <w:p w:rsidR="00515FB5" w:rsidRDefault="00515FB5" w:rsidP="003D7E2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515FB5" w:rsidRPr="00515FB5" w:rsidRDefault="00515FB5" w:rsidP="00515F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B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Jüri Üyeliğinde yeterli uzman akademik personelin bulunmaması</w:t>
            </w:r>
          </w:p>
          <w:p w:rsidR="004439E7" w:rsidRDefault="004439E7" w:rsidP="00161B4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Pr="000273F1">
              <w:rPr>
                <w:rFonts w:ascii="Times New Roman" w:hAnsi="Times New Roman" w:cs="Times New Roman"/>
                <w:sz w:val="24"/>
                <w:szCs w:val="24"/>
              </w:rPr>
              <w:t>üniversitelerdeki akade</w:t>
            </w:r>
            <w:r w:rsidR="00515FB5">
              <w:rPr>
                <w:rFonts w:ascii="Times New Roman" w:hAnsi="Times New Roman" w:cs="Times New Roman"/>
                <w:sz w:val="24"/>
                <w:szCs w:val="24"/>
              </w:rPr>
              <w:t xml:space="preserve">mik personel </w:t>
            </w:r>
            <w:r w:rsidRPr="000273F1">
              <w:rPr>
                <w:rFonts w:ascii="Times New Roman" w:hAnsi="Times New Roman" w:cs="Times New Roman"/>
                <w:sz w:val="24"/>
                <w:szCs w:val="24"/>
              </w:rPr>
              <w:t xml:space="preserve">ile görüşülerek gönüllü </w:t>
            </w:r>
            <w:r w:rsidR="00515FB5">
              <w:rPr>
                <w:rFonts w:ascii="Times New Roman" w:hAnsi="Times New Roman" w:cs="Times New Roman"/>
                <w:sz w:val="24"/>
                <w:szCs w:val="24"/>
              </w:rPr>
              <w:t>olarak (</w:t>
            </w:r>
            <w:r w:rsidRPr="000273F1">
              <w:rPr>
                <w:rFonts w:ascii="Times New Roman" w:hAnsi="Times New Roman" w:cs="Times New Roman"/>
                <w:sz w:val="24"/>
                <w:szCs w:val="24"/>
              </w:rPr>
              <w:t xml:space="preserve">yolluksuz- </w:t>
            </w:r>
            <w:proofErr w:type="spellStart"/>
            <w:r w:rsidRPr="000273F1"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  <w:r w:rsidR="0051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73F1">
              <w:rPr>
                <w:rFonts w:ascii="Times New Roman" w:hAnsi="Times New Roman" w:cs="Times New Roman"/>
                <w:sz w:val="24"/>
                <w:szCs w:val="24"/>
              </w:rPr>
              <w:t xml:space="preserve"> jüri üyeliğine davet edilmesi</w:t>
            </w:r>
          </w:p>
          <w:p w:rsidR="00515FB5" w:rsidRDefault="00515FB5" w:rsidP="003D7E2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B5" w:rsidRPr="00161B4F" w:rsidRDefault="00515FB5" w:rsidP="003D7E2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Kütüphane </w:t>
            </w:r>
            <w:r w:rsidR="00161B4F"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hizmetleri</w:t>
            </w:r>
            <w:r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hakkında</w:t>
            </w:r>
          </w:p>
          <w:p w:rsidR="004439E7" w:rsidRPr="00161B4F" w:rsidRDefault="00161B4F" w:rsidP="003D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Kütüphanelerin</w:t>
            </w:r>
            <w:r w:rsidRPr="00161B4F">
              <w:rPr>
                <w:rFonts w:ascii="Times New Roman" w:hAnsi="Times New Roman" w:cs="Times New Roman"/>
                <w:sz w:val="24"/>
                <w:szCs w:val="24"/>
              </w:rPr>
              <w:t xml:space="preserve"> sundukları hizmetlerin kullanıcıların gereksinim ve beklentilerine karşılık vermesi</w:t>
            </w:r>
            <w:r w:rsidRPr="00161B4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161B4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kütüphanelerimizden daha fazla yararlanabilmesi için</w:t>
            </w:r>
            <w:r w:rsidRPr="00161B4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çalışma saatlerinin daha esnek tutulması.</w:t>
            </w:r>
          </w:p>
          <w:p w:rsidR="00515FB5" w:rsidRDefault="00515FB5" w:rsidP="003D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B5" w:rsidRPr="000273F1" w:rsidRDefault="00515FB5" w:rsidP="003D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E7" w:rsidTr="00DF727E">
        <w:trPr>
          <w:trHeight w:val="57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439E7" w:rsidRPr="008B15E3" w:rsidRDefault="004439E7" w:rsidP="00DF727E">
            <w:pPr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2"/>
              </w:rPr>
            </w:pPr>
            <w:r w:rsidRPr="008B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Gündem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8654" w:type="dxa"/>
            <w:shd w:val="clear" w:color="auto" w:fill="D9D9D9" w:themeFill="background1" w:themeFillShade="D9"/>
            <w:vAlign w:val="center"/>
          </w:tcPr>
          <w:p w:rsidR="004439E7" w:rsidRPr="000919FE" w:rsidRDefault="00161B4F" w:rsidP="00DF7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esnasında Komisyon Üyelerimizin dile getirdiği konular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4439E7" w:rsidTr="00DF727E">
        <w:trPr>
          <w:trHeight w:val="1040"/>
          <w:jc w:val="center"/>
        </w:trPr>
        <w:tc>
          <w:tcPr>
            <w:tcW w:w="1714" w:type="dxa"/>
            <w:vAlign w:val="center"/>
          </w:tcPr>
          <w:p w:rsidR="004439E7" w:rsidRDefault="004439E7" w:rsidP="00DF727E">
            <w:pP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F6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Öneri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/Karar</w:t>
            </w:r>
          </w:p>
        </w:tc>
        <w:tc>
          <w:tcPr>
            <w:tcW w:w="8654" w:type="dxa"/>
            <w:vAlign w:val="center"/>
          </w:tcPr>
          <w:p w:rsidR="004439E7" w:rsidRDefault="004439E7" w:rsidP="0053356A">
            <w:pPr>
              <w:pStyle w:val="AralkYok"/>
              <w:jc w:val="both"/>
            </w:pPr>
          </w:p>
          <w:p w:rsidR="004439E7" w:rsidRPr="00161B4F" w:rsidRDefault="004439E7" w:rsidP="0053356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Eğiticilerin Eğitimi</w:t>
            </w:r>
          </w:p>
          <w:p w:rsidR="004439E7" w:rsidRDefault="004439E7" w:rsidP="0053356A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Kalite Kurulu tarafından 2019 yılı Kurumsal Dış Değerlendirme Programı kapsamında 23-26 Haziran 2019 tarihleri arasında üniversitemizde gerçekleştirilen kurumsal dış değerlendirme sonucunda hazırlanan Kurumsal Geri Bildirim Raporunun</w:t>
            </w:r>
            <w:r w:rsidRPr="0053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39E7" w:rsidRPr="0053356A" w:rsidRDefault="004439E7" w:rsidP="0053356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Eğitim-Öğretim Kadrosu başlığı altında;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“Karabük Üniversitesi'nde eğiticilerin eğitim materyallerini kullanma, nitelikli ve ölçme değerlendirme sistemlerine uygun soru hazırlama ve değerlendirme yeteneklerini geliştirme, sunu hazırlama tekniklerini geliştirmelerine yönelik uygulanan tanımlı bir politikasının bulunmadığı” belirtilmiştir.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Ancak üniversitemizde bu tür faaliyetlerin düzenlenmesine rağmen rapora yansıtılmadığı anlaşılmıştır.</w:t>
            </w:r>
          </w:p>
          <w:p w:rsidR="004439E7" w:rsidRPr="0053356A" w:rsidRDefault="004439E7" w:rsidP="0053356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E7" w:rsidRDefault="004439E7" w:rsidP="0053356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sebeple 2019 yılı Kurum İç Değerlendirme raporunda kullanılmak üzere </w:t>
            </w:r>
            <w:r w:rsidRPr="0053356A">
              <w:rPr>
                <w:rFonts w:ascii="Times New Roman" w:hAnsi="Times New Roman" w:cs="Times New Roman"/>
                <w:sz w:val="24"/>
                <w:szCs w:val="24"/>
              </w:rPr>
              <w:t xml:space="preserve">Üniversitemizde Eğiticilerin eğitimi kapsamında gerçekleştirilen faaliyetlere ilişkin eğitimin adı, süresi, yeri, başlama ve bitiş tarihi, eğitimi verenler katılımcı sayısı ve </w:t>
            </w:r>
            <w:proofErr w:type="gramStart"/>
            <w:r w:rsidRPr="0053356A">
              <w:rPr>
                <w:rFonts w:ascii="Times New Roman" w:hAnsi="Times New Roman" w:cs="Times New Roman"/>
                <w:sz w:val="24"/>
                <w:szCs w:val="24"/>
              </w:rPr>
              <w:t>listesi…vb.</w:t>
            </w:r>
            <w:proofErr w:type="gramEnd"/>
            <w:r w:rsidRPr="0053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56A">
              <w:rPr>
                <w:rFonts w:ascii="Times New Roman" w:hAnsi="Times New Roman" w:cs="Times New Roman"/>
                <w:sz w:val="24"/>
                <w:szCs w:val="24"/>
              </w:rPr>
              <w:t>bilgilerin</w:t>
            </w:r>
            <w:r w:rsidRPr="0053356A">
              <w:rPr>
                <w:rFonts w:ascii="Times New Roman" w:hAnsi="Times New Roman" w:cs="Times New Roman"/>
                <w:sz w:val="24"/>
                <w:szCs w:val="24"/>
              </w:rPr>
              <w:t xml:space="preserve"> tüm birimlerden üst yazı ile talep edilmesi</w:t>
            </w:r>
          </w:p>
          <w:p w:rsidR="00161B4F" w:rsidRPr="0053356A" w:rsidRDefault="00161B4F" w:rsidP="0053356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E7" w:rsidRDefault="004439E7" w:rsidP="0053356A">
            <w:pPr>
              <w:pStyle w:val="AralkYok"/>
            </w:pPr>
          </w:p>
          <w:p w:rsidR="00161B4F" w:rsidRDefault="00161B4F" w:rsidP="0053356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1D0318" w:rsidRDefault="001D0318" w:rsidP="005335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4439E7" w:rsidRPr="00161B4F" w:rsidRDefault="004439E7" w:rsidP="005335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Formların standartlaştırılması</w:t>
            </w:r>
          </w:p>
          <w:p w:rsidR="004439E7" w:rsidRDefault="004439E7" w:rsidP="005335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birimlerinde kullanılan formların standartlaşmasını sağlamak üzere birimlerimizde kullanılan tüm formların üst yazı ile birimlerimizden talep edilmesi</w:t>
            </w:r>
          </w:p>
          <w:p w:rsidR="004439E7" w:rsidRDefault="004439E7" w:rsidP="005335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E7" w:rsidRPr="00161B4F" w:rsidRDefault="004439E7" w:rsidP="005335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Birim Kalite Komisyon Üyeleri H</w:t>
            </w:r>
            <w:r w:rsidR="00161B4F"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akkında</w:t>
            </w:r>
          </w:p>
          <w:p w:rsidR="004439E7" w:rsidRDefault="004439E7" w:rsidP="005335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B">
              <w:rPr>
                <w:rFonts w:ascii="Times New Roman" w:hAnsi="Times New Roman" w:cs="Times New Roman"/>
                <w:sz w:val="24"/>
                <w:szCs w:val="24"/>
              </w:rPr>
              <w:t>Akademik birimlerde oluşturulan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irim Kalite Komisyon Üyeliğine gönüllülük esasına dayanılarak Uluslararası Öğrencilerin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  <w:p w:rsidR="004439E7" w:rsidRDefault="004439E7" w:rsidP="005335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E7" w:rsidRPr="00161B4F" w:rsidRDefault="004439E7" w:rsidP="005335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Kalite El Kitapçığının Oluşturulması</w:t>
            </w:r>
          </w:p>
          <w:p w:rsidR="004439E7" w:rsidRDefault="004439E7" w:rsidP="0002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E">
              <w:rPr>
                <w:rFonts w:ascii="Times New Roman" w:hAnsi="Times New Roman" w:cs="Times New Roman"/>
                <w:sz w:val="24"/>
                <w:szCs w:val="24"/>
              </w:rPr>
              <w:t xml:space="preserve">Üniversitemizde </w:t>
            </w:r>
            <w:r w:rsidRPr="001D751E">
              <w:rPr>
                <w:rFonts w:ascii="Times New Roman" w:hAnsi="Times New Roman" w:cs="Times New Roman"/>
                <w:sz w:val="24"/>
                <w:szCs w:val="24"/>
              </w:rPr>
              <w:t>yürütülmekte olan kalite yönetim sisteminin etkin çalışması için gerekli süreçlerin tanımlanması, ilişkilendirilmesi ve kontrolü yoluyla süreç yaklaşımını göstermek, yetki ve sorumlulukları belirtmek ve üçüncü taraflara kalite yönetim sisteminin n</w:t>
            </w:r>
            <w:r w:rsidRPr="001D751E">
              <w:rPr>
                <w:rFonts w:ascii="Times New Roman" w:hAnsi="Times New Roman" w:cs="Times New Roman"/>
                <w:sz w:val="24"/>
                <w:szCs w:val="24"/>
              </w:rPr>
              <w:t>asıl uygulandığını göstermek amacıyla Kalite El Kitabının oluşturulması</w:t>
            </w:r>
          </w:p>
          <w:p w:rsidR="004439E7" w:rsidRDefault="004439E7" w:rsidP="0053356A">
            <w:pPr>
              <w:pStyle w:val="AralkYok"/>
            </w:pPr>
          </w:p>
          <w:p w:rsidR="004439E7" w:rsidRPr="00930E3A" w:rsidRDefault="004439E7" w:rsidP="000273F1">
            <w:pPr>
              <w:pStyle w:val="AralkYok"/>
            </w:pPr>
          </w:p>
        </w:tc>
      </w:tr>
      <w:tr w:rsidR="004439E7" w:rsidTr="000273F1">
        <w:trPr>
          <w:trHeight w:val="1040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439E7" w:rsidRPr="001F64B1" w:rsidRDefault="00161B4F" w:rsidP="00DF72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Gündem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8654" w:type="dxa"/>
            <w:shd w:val="clear" w:color="auto" w:fill="D9D9D9" w:themeFill="background1" w:themeFillShade="D9"/>
            <w:vAlign w:val="center"/>
          </w:tcPr>
          <w:p w:rsidR="004439E7" w:rsidRPr="00161B4F" w:rsidRDefault="00161B4F" w:rsidP="004439E7">
            <w:pPr>
              <w:pStyle w:val="AralkYok"/>
              <w:jc w:val="both"/>
              <w:rPr>
                <w:b/>
              </w:rPr>
            </w:pPr>
            <w:r w:rsidRPr="00161B4F">
              <w:rPr>
                <w:rFonts w:ascii="Times New Roman" w:hAnsi="Times New Roman" w:cs="Times New Roman"/>
                <w:b/>
                <w:sz w:val="24"/>
                <w:szCs w:val="24"/>
              </w:rPr>
              <w:t>Bir sonraki toplantı tarihi</w:t>
            </w:r>
          </w:p>
        </w:tc>
      </w:tr>
      <w:tr w:rsidR="004439E7" w:rsidTr="00DF727E">
        <w:trPr>
          <w:trHeight w:val="1040"/>
          <w:jc w:val="center"/>
        </w:trPr>
        <w:tc>
          <w:tcPr>
            <w:tcW w:w="1714" w:type="dxa"/>
            <w:vAlign w:val="center"/>
          </w:tcPr>
          <w:p w:rsidR="004439E7" w:rsidRPr="001F64B1" w:rsidRDefault="00161B4F" w:rsidP="00DF72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sz w:val="24"/>
                <w:szCs w:val="24"/>
              </w:rPr>
              <w:t>Öneri/Karar</w:t>
            </w:r>
          </w:p>
        </w:tc>
        <w:tc>
          <w:tcPr>
            <w:tcW w:w="8654" w:type="dxa"/>
            <w:vAlign w:val="center"/>
          </w:tcPr>
          <w:p w:rsidR="004439E7" w:rsidRPr="00161B4F" w:rsidRDefault="00161B4F" w:rsidP="0016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4F">
              <w:rPr>
                <w:rFonts w:ascii="Times New Roman" w:hAnsi="Times New Roman" w:cs="Times New Roman"/>
                <w:sz w:val="24"/>
                <w:szCs w:val="24"/>
              </w:rPr>
              <w:t xml:space="preserve">Bir sonraki toplantının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Ocak 2020 tarihi saat:14</w:t>
            </w:r>
            <w:r w:rsidRPr="00161B4F">
              <w:rPr>
                <w:rFonts w:ascii="Times New Roman" w:hAnsi="Times New Roman" w:cs="Times New Roman"/>
                <w:sz w:val="24"/>
                <w:szCs w:val="24"/>
              </w:rPr>
              <w:t>.00’da aynı yerde yapılması kararlaştırılmıştır</w:t>
            </w:r>
          </w:p>
        </w:tc>
      </w:tr>
    </w:tbl>
    <w:p w:rsidR="00FF650D" w:rsidRDefault="00FF650D">
      <w:bookmarkStart w:id="0" w:name="_GoBack"/>
      <w:bookmarkEnd w:id="0"/>
    </w:p>
    <w:sectPr w:rsidR="00FF650D" w:rsidSect="00EB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690"/>
    <w:multiLevelType w:val="hybridMultilevel"/>
    <w:tmpl w:val="6928A954"/>
    <w:lvl w:ilvl="0" w:tplc="9BEE9D7C">
      <w:start w:val="1"/>
      <w:numFmt w:val="decimal"/>
      <w:lvlText w:val="%1-"/>
      <w:lvlJc w:val="left"/>
      <w:pPr>
        <w:ind w:left="3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56809A1"/>
    <w:multiLevelType w:val="hybridMultilevel"/>
    <w:tmpl w:val="63DE90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256"/>
    <w:multiLevelType w:val="hybridMultilevel"/>
    <w:tmpl w:val="4C6AD296"/>
    <w:lvl w:ilvl="0" w:tplc="5A12F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FE2"/>
    <w:multiLevelType w:val="hybridMultilevel"/>
    <w:tmpl w:val="7AB88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9CB"/>
    <w:multiLevelType w:val="hybridMultilevel"/>
    <w:tmpl w:val="0F0C8E30"/>
    <w:lvl w:ilvl="0" w:tplc="9372DF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0A15"/>
    <w:multiLevelType w:val="hybridMultilevel"/>
    <w:tmpl w:val="0AAA7B78"/>
    <w:lvl w:ilvl="0" w:tplc="B07894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7B31"/>
    <w:multiLevelType w:val="hybridMultilevel"/>
    <w:tmpl w:val="A4A24706"/>
    <w:lvl w:ilvl="0" w:tplc="9350E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09C3"/>
    <w:multiLevelType w:val="hybridMultilevel"/>
    <w:tmpl w:val="FE4EC1C2"/>
    <w:lvl w:ilvl="0" w:tplc="CF0CA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8299C"/>
    <w:multiLevelType w:val="hybridMultilevel"/>
    <w:tmpl w:val="9C0034E0"/>
    <w:lvl w:ilvl="0" w:tplc="37B6C43A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48AF1BE9"/>
    <w:multiLevelType w:val="hybridMultilevel"/>
    <w:tmpl w:val="75B2B438"/>
    <w:lvl w:ilvl="0" w:tplc="DF881BA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2152A3A"/>
    <w:multiLevelType w:val="hybridMultilevel"/>
    <w:tmpl w:val="2C1A41BA"/>
    <w:lvl w:ilvl="0" w:tplc="44FAB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B1894"/>
    <w:multiLevelType w:val="hybridMultilevel"/>
    <w:tmpl w:val="A9B63D6A"/>
    <w:lvl w:ilvl="0" w:tplc="27484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66793"/>
    <w:multiLevelType w:val="hybridMultilevel"/>
    <w:tmpl w:val="F1A60BEC"/>
    <w:lvl w:ilvl="0" w:tplc="B3A43154">
      <w:start w:val="1"/>
      <w:numFmt w:val="upperLetter"/>
      <w:lvlText w:val="%1-"/>
      <w:lvlJc w:val="left"/>
      <w:pPr>
        <w:ind w:left="643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F03FD"/>
    <w:multiLevelType w:val="hybridMultilevel"/>
    <w:tmpl w:val="6928A954"/>
    <w:lvl w:ilvl="0" w:tplc="9BEE9D7C">
      <w:start w:val="1"/>
      <w:numFmt w:val="decimal"/>
      <w:lvlText w:val="%1-"/>
      <w:lvlJc w:val="left"/>
      <w:pPr>
        <w:ind w:left="3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68"/>
    <w:rsid w:val="000273F1"/>
    <w:rsid w:val="000919FE"/>
    <w:rsid w:val="000A2B37"/>
    <w:rsid w:val="000E7399"/>
    <w:rsid w:val="000F031A"/>
    <w:rsid w:val="00133732"/>
    <w:rsid w:val="00135421"/>
    <w:rsid w:val="00161B4F"/>
    <w:rsid w:val="00166A6B"/>
    <w:rsid w:val="001A5078"/>
    <w:rsid w:val="001D0318"/>
    <w:rsid w:val="001D751E"/>
    <w:rsid w:val="001F64B1"/>
    <w:rsid w:val="00206655"/>
    <w:rsid w:val="00243DE8"/>
    <w:rsid w:val="00243F1D"/>
    <w:rsid w:val="00262F65"/>
    <w:rsid w:val="002B24A3"/>
    <w:rsid w:val="002D3854"/>
    <w:rsid w:val="00337CBB"/>
    <w:rsid w:val="00343EF4"/>
    <w:rsid w:val="00351973"/>
    <w:rsid w:val="00391F87"/>
    <w:rsid w:val="003C26C1"/>
    <w:rsid w:val="00424912"/>
    <w:rsid w:val="00426F90"/>
    <w:rsid w:val="004439E7"/>
    <w:rsid w:val="00463BD6"/>
    <w:rsid w:val="00487DFF"/>
    <w:rsid w:val="004A74DB"/>
    <w:rsid w:val="004B0997"/>
    <w:rsid w:val="00515FB5"/>
    <w:rsid w:val="0053356A"/>
    <w:rsid w:val="005452A2"/>
    <w:rsid w:val="006727BA"/>
    <w:rsid w:val="00672915"/>
    <w:rsid w:val="00704825"/>
    <w:rsid w:val="00715710"/>
    <w:rsid w:val="007E74E3"/>
    <w:rsid w:val="00815408"/>
    <w:rsid w:val="008A41D0"/>
    <w:rsid w:val="008B15E3"/>
    <w:rsid w:val="008C73FC"/>
    <w:rsid w:val="009134A3"/>
    <w:rsid w:val="00917ADA"/>
    <w:rsid w:val="00930E3A"/>
    <w:rsid w:val="009761B1"/>
    <w:rsid w:val="009B2F46"/>
    <w:rsid w:val="009B5BDF"/>
    <w:rsid w:val="00A508BB"/>
    <w:rsid w:val="00AA2776"/>
    <w:rsid w:val="00B93E4A"/>
    <w:rsid w:val="00B95DF3"/>
    <w:rsid w:val="00BB007F"/>
    <w:rsid w:val="00C42258"/>
    <w:rsid w:val="00CE1375"/>
    <w:rsid w:val="00D02768"/>
    <w:rsid w:val="00DF727E"/>
    <w:rsid w:val="00E827EA"/>
    <w:rsid w:val="00EA3368"/>
    <w:rsid w:val="00EB581D"/>
    <w:rsid w:val="00EE36C0"/>
    <w:rsid w:val="00EE5250"/>
    <w:rsid w:val="00F032A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B1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tr-TR"/>
    </w:rPr>
  </w:style>
  <w:style w:type="paragraph" w:styleId="Balk1">
    <w:name w:val="heading 1"/>
    <w:basedOn w:val="Normal"/>
    <w:next w:val="Normal"/>
    <w:link w:val="Balk1Char"/>
    <w:qFormat/>
    <w:rsid w:val="001F64B1"/>
    <w:pPr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3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F64B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1F64B1"/>
    <w:rPr>
      <w:b/>
      <w:caps/>
      <w:color w:val="808080"/>
      <w:sz w:val="14"/>
      <w:szCs w:val="14"/>
      <w:lang w:bidi="tr-TR"/>
    </w:rPr>
  </w:style>
  <w:style w:type="paragraph" w:styleId="ListeParagraf">
    <w:name w:val="List Paragraph"/>
    <w:basedOn w:val="Normal"/>
    <w:uiPriority w:val="34"/>
    <w:qFormat/>
    <w:rsid w:val="001F64B1"/>
    <w:pPr>
      <w:ind w:left="708"/>
    </w:pPr>
  </w:style>
  <w:style w:type="table" w:styleId="TabloKlavuzu">
    <w:name w:val="Table Grid"/>
    <w:basedOn w:val="NormalTablo"/>
    <w:uiPriority w:val="59"/>
    <w:rsid w:val="001F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1F87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3356A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eastAsia="tr-TR"/>
    </w:rPr>
  </w:style>
  <w:style w:type="paragraph" w:styleId="AralkYok">
    <w:name w:val="No Spacing"/>
    <w:uiPriority w:val="1"/>
    <w:qFormat/>
    <w:rsid w:val="0053356A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tr-TR"/>
    </w:rPr>
  </w:style>
  <w:style w:type="character" w:customStyle="1" w:styleId="fontstyle01">
    <w:name w:val="fontstyle01"/>
    <w:basedOn w:val="VarsaylanParagrafYazTipi"/>
    <w:rsid w:val="000273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B1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tr-TR"/>
    </w:rPr>
  </w:style>
  <w:style w:type="paragraph" w:styleId="Balk1">
    <w:name w:val="heading 1"/>
    <w:basedOn w:val="Normal"/>
    <w:next w:val="Normal"/>
    <w:link w:val="Balk1Char"/>
    <w:qFormat/>
    <w:rsid w:val="001F64B1"/>
    <w:pPr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3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F64B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1F64B1"/>
    <w:rPr>
      <w:b/>
      <w:caps/>
      <w:color w:val="808080"/>
      <w:sz w:val="14"/>
      <w:szCs w:val="14"/>
      <w:lang w:bidi="tr-TR"/>
    </w:rPr>
  </w:style>
  <w:style w:type="paragraph" w:styleId="ListeParagraf">
    <w:name w:val="List Paragraph"/>
    <w:basedOn w:val="Normal"/>
    <w:uiPriority w:val="34"/>
    <w:qFormat/>
    <w:rsid w:val="001F64B1"/>
    <w:pPr>
      <w:ind w:left="708"/>
    </w:pPr>
  </w:style>
  <w:style w:type="table" w:styleId="TabloKlavuzu">
    <w:name w:val="Table Grid"/>
    <w:basedOn w:val="NormalTablo"/>
    <w:uiPriority w:val="59"/>
    <w:rsid w:val="001F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1F87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3356A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eastAsia="tr-TR"/>
    </w:rPr>
  </w:style>
  <w:style w:type="paragraph" w:styleId="AralkYok">
    <w:name w:val="No Spacing"/>
    <w:uiPriority w:val="1"/>
    <w:qFormat/>
    <w:rsid w:val="0053356A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tr-TR"/>
    </w:rPr>
  </w:style>
  <w:style w:type="character" w:customStyle="1" w:styleId="fontstyle01">
    <w:name w:val="fontstyle01"/>
    <w:basedOn w:val="VarsaylanParagrafYazTipi"/>
    <w:rsid w:val="000273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5300</dc:creator>
  <cp:lastModifiedBy>user</cp:lastModifiedBy>
  <cp:revision>2</cp:revision>
  <cp:lastPrinted>2019-12-09T11:53:00Z</cp:lastPrinted>
  <dcterms:created xsi:type="dcterms:W3CDTF">2019-12-09T12:08:00Z</dcterms:created>
  <dcterms:modified xsi:type="dcterms:W3CDTF">2019-12-09T12:08:00Z</dcterms:modified>
</cp:coreProperties>
</file>